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8234B7">
      <w:pPr>
        <w:ind w:left="6480" w:firstLine="720"/>
        <w:jc w:val="both"/>
        <w:rPr>
          <w:b/>
        </w:rPr>
      </w:pPr>
      <w:bookmarkStart w:id="0" w:name="_GoBack"/>
      <w:bookmarkEnd w:id="0"/>
      <w:r>
        <w:rPr>
          <w:b/>
        </w:rPr>
        <w:t xml:space="preserve">Appendix </w:t>
      </w:r>
      <w:r w:rsidR="004914BA">
        <w:rPr>
          <w:b/>
        </w:rPr>
        <w:t>1</w:t>
      </w:r>
      <w:r w:rsidR="001D5D5B">
        <w:rPr>
          <w:b/>
        </w:rPr>
        <w:t>5</w:t>
      </w:r>
    </w:p>
    <w:p w:rsidR="00AB45E6" w:rsidRDefault="00AB45E6" w:rsidP="00F067C1">
      <w:pPr>
        <w:jc w:val="both"/>
        <w:rPr>
          <w:b/>
        </w:rPr>
      </w:pPr>
    </w:p>
    <w:p w:rsidR="00A40CF4" w:rsidRDefault="00C2041B" w:rsidP="00F067C1">
      <w:pPr>
        <w:jc w:val="both"/>
        <w:rPr>
          <w:b/>
        </w:rPr>
      </w:pPr>
      <w:r>
        <w:rPr>
          <w:b/>
        </w:rPr>
        <w:t>Transport</w:t>
      </w:r>
      <w:r w:rsidR="00DC3829">
        <w:rPr>
          <w:b/>
        </w:rPr>
        <w:t xml:space="preserve"> / Access Issues</w:t>
      </w:r>
    </w:p>
    <w:p w:rsidR="001D5D5B" w:rsidRDefault="001D5D5B" w:rsidP="00F067C1">
      <w:pPr>
        <w:jc w:val="both"/>
        <w:rPr>
          <w:b/>
        </w:rPr>
      </w:pPr>
    </w:p>
    <w:p w:rsidR="001D5D5B" w:rsidRPr="00B13EBB" w:rsidRDefault="001D5D5B" w:rsidP="00F067C1">
      <w:pPr>
        <w:jc w:val="both"/>
        <w:rPr>
          <w:b/>
        </w:rPr>
      </w:pPr>
      <w:r>
        <w:rPr>
          <w:b/>
        </w:rPr>
        <w:t>Proposal</w:t>
      </w:r>
    </w:p>
    <w:p w:rsidR="00B13EBB" w:rsidRDefault="00B13EBB" w:rsidP="00F067C1">
      <w:pPr>
        <w:jc w:val="both"/>
        <w:rPr>
          <w:u w:val="single"/>
        </w:rPr>
      </w:pPr>
    </w:p>
    <w:p w:rsidR="001E6A4E" w:rsidRDefault="00DC3829" w:rsidP="00F067C1">
      <w:pPr>
        <w:jc w:val="both"/>
      </w:pPr>
      <w:r w:rsidRPr="00DC3829">
        <w:t xml:space="preserve">The applicant proposes to </w:t>
      </w:r>
      <w:r w:rsidR="000756AB">
        <w:t xml:space="preserve">access the site via a new access </w:t>
      </w:r>
      <w:r w:rsidR="00915BF3">
        <w:t>from the</w:t>
      </w:r>
      <w:r w:rsidR="000756AB">
        <w:t xml:space="preserve"> north side of the A583 (Preston New Road).</w:t>
      </w:r>
      <w:r w:rsidR="00915BF3">
        <w:t xml:space="preserve"> </w:t>
      </w:r>
      <w:r w:rsidR="001E6A4E">
        <w:t>Traffic to the site could travel either east or west along the A583 in order to gain access to the M55 at junctions 3 or 4.</w:t>
      </w:r>
      <w:r w:rsidR="00A0656E">
        <w:t xml:space="preserve"> Both routes to the motorway are comprised of major roads and would not require HGV traffic to pass through major built up areas.</w:t>
      </w:r>
    </w:p>
    <w:p w:rsidR="001E6A4E" w:rsidRDefault="001E6A4E" w:rsidP="00F067C1">
      <w:pPr>
        <w:jc w:val="both"/>
      </w:pPr>
    </w:p>
    <w:p w:rsidR="00B13EBB" w:rsidRDefault="00915BF3" w:rsidP="00F067C1">
      <w:pPr>
        <w:jc w:val="both"/>
      </w:pPr>
      <w:r>
        <w:t xml:space="preserve">The access would be created by breaking through the existing hedgerow on the north side of the A583 to create an access point of sufficient width to allow two way </w:t>
      </w:r>
      <w:r w:rsidR="009564C5">
        <w:t>passages</w:t>
      </w:r>
      <w:r>
        <w:t xml:space="preserve"> of HGV's</w:t>
      </w:r>
      <w:r w:rsidR="00FC3E9B">
        <w:t xml:space="preserve">. </w:t>
      </w:r>
      <w:r w:rsidR="00C977D0">
        <w:t>The access road to be surfaced to withstand HGV traffic would then lead to the site compound</w:t>
      </w:r>
      <w:r w:rsidR="00B01C9B">
        <w:t xml:space="preserve">.  The works to create the access would require the removal of approximately 190m </w:t>
      </w:r>
      <w:r w:rsidR="001E6A4E">
        <w:t>of hedgerow including two trees in order to create the required visibility splays.</w:t>
      </w:r>
    </w:p>
    <w:p w:rsidR="00A0656E" w:rsidRDefault="00A0656E" w:rsidP="00F067C1">
      <w:pPr>
        <w:jc w:val="both"/>
      </w:pPr>
    </w:p>
    <w:p w:rsidR="00A0656E" w:rsidRDefault="00A0656E" w:rsidP="00F067C1">
      <w:pPr>
        <w:jc w:val="both"/>
      </w:pPr>
      <w:r>
        <w:t>In the vicinity of the site access, the A583 has a large central hatched area arising from when the road used to have three lanes with a central overtaking lane. The applicant proposes to use part of the central hatched area in order to create a right turning lane for vehicles entering the site from the east.</w:t>
      </w:r>
    </w:p>
    <w:p w:rsidR="00461C5C" w:rsidRDefault="00461C5C" w:rsidP="00F067C1">
      <w:pPr>
        <w:jc w:val="both"/>
      </w:pPr>
    </w:p>
    <w:p w:rsidR="00461C5C" w:rsidRDefault="002A04C9" w:rsidP="00F067C1">
      <w:pPr>
        <w:jc w:val="both"/>
      </w:pPr>
      <w:r>
        <w:lastRenderedPageBreak/>
        <w:t>The ES includes an</w:t>
      </w:r>
      <w:r w:rsidR="00461C5C">
        <w:t xml:space="preserve"> assessment </w:t>
      </w:r>
      <w:r>
        <w:t xml:space="preserve">of traffic impacts </w:t>
      </w:r>
      <w:r w:rsidR="00461C5C">
        <w:t>which includes details of the anticipated traffic flows and an assessment of likely impacts in terms of highway capacity and safety.</w:t>
      </w:r>
    </w:p>
    <w:p w:rsidR="00461C5C" w:rsidRDefault="00461C5C" w:rsidP="00F067C1">
      <w:pPr>
        <w:jc w:val="both"/>
      </w:pPr>
    </w:p>
    <w:p w:rsidR="00461C5C" w:rsidRDefault="00461C5C" w:rsidP="00F067C1">
      <w:pPr>
        <w:jc w:val="both"/>
      </w:pPr>
      <w:r>
        <w:t xml:space="preserve">The traffic </w:t>
      </w:r>
      <w:r w:rsidR="00E632EB">
        <w:t xml:space="preserve">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w:t>
      </w:r>
      <w:r w:rsidR="0060090B">
        <w:t xml:space="preserve">five months, there would be an average of 14 two way HGV movements (maximum of 50). For drilling of the subsequent three wells, the duration of the movements would be over a shorter period </w:t>
      </w:r>
      <w:r w:rsidR="00044643">
        <w:t xml:space="preserve">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t>
      </w:r>
      <w:r w:rsidR="009E190B">
        <w:t>whilst the decommissioning and restoration of the site over approximately 2 months would generate an average of 22 two way HGV movements.</w:t>
      </w:r>
    </w:p>
    <w:p w:rsidR="009E190B" w:rsidRDefault="009E190B" w:rsidP="00F067C1">
      <w:pPr>
        <w:jc w:val="both"/>
      </w:pPr>
    </w:p>
    <w:p w:rsidR="009E190B" w:rsidRDefault="009E190B" w:rsidP="00F067C1">
      <w:pPr>
        <w:jc w:val="both"/>
      </w:pPr>
      <w:r>
        <w:t xml:space="preserve">The peak traffic flows will occur as a result of combined traffic associated with activities at more than one well. The total traffic numbers in the ES are based on such conditions. The peak traffic generated would be around 50 two way HGV movements per day which would </w:t>
      </w:r>
      <w:r>
        <w:lastRenderedPageBreak/>
        <w:t>occur for around one week on eight occasions over the life of the project.</w:t>
      </w:r>
    </w:p>
    <w:p w:rsidR="009E190B" w:rsidRDefault="009E190B" w:rsidP="00F067C1">
      <w:pPr>
        <w:jc w:val="both"/>
      </w:pPr>
    </w:p>
    <w:p w:rsidR="009E190B" w:rsidRDefault="002A04C9" w:rsidP="00F067C1">
      <w:pPr>
        <w:jc w:val="both"/>
      </w:pPr>
      <w:r>
        <w:t>The forecast traffic flows are below the thresholds in Department for Transport Guidance for Transport Assessments which define 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rsidR="00B175C0" w:rsidRDefault="00B175C0" w:rsidP="00F067C1">
      <w:pPr>
        <w:jc w:val="both"/>
      </w:pPr>
    </w:p>
    <w:p w:rsidR="00763652" w:rsidRPr="009564C5" w:rsidRDefault="00763652" w:rsidP="00F067C1">
      <w:pPr>
        <w:jc w:val="both"/>
        <w:rPr>
          <w:b/>
        </w:rPr>
      </w:pPr>
      <w:r w:rsidRPr="009564C5">
        <w:rPr>
          <w:b/>
        </w:rPr>
        <w:t xml:space="preserve">Policy </w:t>
      </w:r>
    </w:p>
    <w:p w:rsidR="00763652" w:rsidRDefault="00763652" w:rsidP="00F067C1">
      <w:pPr>
        <w:jc w:val="both"/>
      </w:pPr>
    </w:p>
    <w:p w:rsidR="009564C5" w:rsidRPr="009564C5" w:rsidRDefault="009564C5" w:rsidP="00F067C1">
      <w:pPr>
        <w:jc w:val="both"/>
      </w:pPr>
      <w:r>
        <w:t>The policies of the NPPF support sustainable development as d</w:t>
      </w:r>
      <w:r w:rsidR="0060157C">
        <w:t>oes policy</w:t>
      </w:r>
      <w:r>
        <w:t xml:space="preserve"> </w:t>
      </w:r>
      <w:r>
        <w:rPr>
          <w:rFonts w:ascii="TT2B1o00" w:hAnsi="TT2B1o00" w:cs="TT2B1o00"/>
          <w:szCs w:val="24"/>
        </w:rPr>
        <w:t xml:space="preserve">NPPF 1 of the </w:t>
      </w:r>
      <w:r w:rsidRPr="009564C5">
        <w:rPr>
          <w:rFonts w:ascii="TT2B1o00" w:hAnsi="TT2B1o00" w:cs="TT2B1o00"/>
          <w:szCs w:val="24"/>
        </w:rPr>
        <w:t>Joint Lancashire Minerals and Waste Local Plan – Site Allocation and Development Management Policies</w:t>
      </w:r>
      <w:r w:rsidR="0060157C">
        <w:rPr>
          <w:rFonts w:ascii="TT2B1o00" w:hAnsi="TT2B1o00" w:cs="TT2B1o00"/>
          <w:szCs w:val="24"/>
        </w:rPr>
        <w:t xml:space="preserve">. Policy DM2 of the </w:t>
      </w:r>
      <w:r w:rsidR="0060157C" w:rsidRPr="009564C5">
        <w:rPr>
          <w:rFonts w:ascii="TT2B1o00" w:hAnsi="TT2B1o00" w:cs="TT2B1o00"/>
          <w:szCs w:val="24"/>
        </w:rPr>
        <w:t>Joint Lancashire Minerals and Waste Local Plan – Site Allocation and Development Management Policies</w:t>
      </w:r>
      <w:r w:rsidR="0060157C">
        <w:rPr>
          <w:rFonts w:ascii="TT2B1o00" w:hAnsi="TT2B1o00" w:cs="TT2B1o00"/>
          <w:szCs w:val="24"/>
        </w:rPr>
        <w:t xml:space="preserve"> seeks to ensure that proposals do not have an unacceptable impact on amenities.</w:t>
      </w:r>
    </w:p>
    <w:p w:rsidR="009564C5" w:rsidRDefault="009564C5" w:rsidP="00F067C1">
      <w:pPr>
        <w:jc w:val="both"/>
      </w:pPr>
    </w:p>
    <w:p w:rsidR="00AB45E6" w:rsidRPr="00AB45E6" w:rsidRDefault="001D5D5B" w:rsidP="00F067C1">
      <w:pPr>
        <w:jc w:val="both"/>
        <w:rPr>
          <w:b/>
        </w:rPr>
      </w:pPr>
      <w:r>
        <w:rPr>
          <w:b/>
        </w:rPr>
        <w:t>Summary of c</w:t>
      </w:r>
      <w:r w:rsidR="00AB45E6" w:rsidRPr="00AB45E6">
        <w:rPr>
          <w:b/>
        </w:rPr>
        <w:t>onsultations</w:t>
      </w:r>
      <w:r>
        <w:rPr>
          <w:b/>
        </w:rPr>
        <w:t xml:space="preserve"> and</w:t>
      </w:r>
      <w:r w:rsidR="00AB45E6" w:rsidRPr="00AB45E6">
        <w:rPr>
          <w:b/>
        </w:rPr>
        <w:t xml:space="preserve"> representations</w:t>
      </w:r>
    </w:p>
    <w:p w:rsidR="00AB45E6" w:rsidRPr="00AB45E6" w:rsidRDefault="00AB45E6" w:rsidP="00F067C1">
      <w:pPr>
        <w:jc w:val="both"/>
        <w:rPr>
          <w:b/>
        </w:rPr>
      </w:pPr>
    </w:p>
    <w:p w:rsidR="009D3D0A" w:rsidRPr="009D3D0A" w:rsidRDefault="009D3D0A" w:rsidP="00F067C1">
      <w:pPr>
        <w:jc w:val="both"/>
        <w:rPr>
          <w:b/>
          <w:szCs w:val="24"/>
          <w:lang w:eastAsia="en-US"/>
        </w:rPr>
      </w:pPr>
      <w:r w:rsidRPr="009D3D0A">
        <w:t xml:space="preserve">The </w:t>
      </w:r>
      <w:r w:rsidR="00AB45E6" w:rsidRPr="009D3D0A">
        <w:t>Highways Agency</w:t>
      </w:r>
      <w:r w:rsidRPr="009D3D0A">
        <w:t xml:space="preserve"> has raised no objection subject to the traffic levels not exceeding those predicted for the strategic highways network and that the costs of any mitigation to the highway </w:t>
      </w:r>
      <w:r w:rsidR="009564C5" w:rsidRPr="009D3D0A">
        <w:t>assets</w:t>
      </w:r>
      <w:r w:rsidRPr="009D3D0A">
        <w:t xml:space="preserve"> </w:t>
      </w:r>
      <w:r w:rsidRPr="009D3D0A">
        <w:lastRenderedPageBreak/>
        <w:t>needs to be</w:t>
      </w:r>
      <w:r>
        <w:rPr>
          <w:b/>
        </w:rPr>
        <w:t xml:space="preserve"> </w:t>
      </w:r>
      <w:r w:rsidRPr="009D3D0A">
        <w:rPr>
          <w:szCs w:val="24"/>
          <w:lang w:eastAsia="en-US"/>
        </w:rPr>
        <w:t>covered by the instigator should damage occur due to project activities</w:t>
      </w:r>
    </w:p>
    <w:p w:rsidR="009D3D0A" w:rsidRPr="00AB45E6" w:rsidRDefault="009D3D0A" w:rsidP="00F067C1">
      <w:pPr>
        <w:jc w:val="both"/>
        <w:rPr>
          <w:b/>
        </w:rPr>
      </w:pPr>
    </w:p>
    <w:p w:rsidR="000B7C20" w:rsidRDefault="00AB45E6" w:rsidP="00F067C1">
      <w:pPr>
        <w:spacing w:after="240"/>
        <w:jc w:val="both"/>
        <w:rPr>
          <w:rFonts w:cs="Arial"/>
          <w:szCs w:val="24"/>
        </w:rPr>
      </w:pPr>
      <w:r w:rsidRPr="000B7C20">
        <w:rPr>
          <w:rFonts w:cs="Arial"/>
          <w:b/>
          <w:szCs w:val="24"/>
        </w:rPr>
        <w:t>LCC Developer Support (Highways)</w:t>
      </w:r>
      <w:r w:rsidR="00CD1C15" w:rsidRPr="000B7C20">
        <w:rPr>
          <w:rFonts w:cs="Arial"/>
          <w:b/>
          <w:szCs w:val="24"/>
        </w:rPr>
        <w:t xml:space="preserve">: </w:t>
      </w:r>
      <w:r w:rsidR="00CD1C15" w:rsidRPr="000B7C20">
        <w:rPr>
          <w:rFonts w:cs="Arial"/>
          <w:szCs w:val="24"/>
        </w:rPr>
        <w:t>No objection</w:t>
      </w:r>
      <w:r w:rsidR="000B7C20">
        <w:rPr>
          <w:rFonts w:cs="Arial"/>
          <w:szCs w:val="24"/>
        </w:rPr>
        <w:t xml:space="preserve"> subject to conditions and notes</w:t>
      </w:r>
      <w:r w:rsidR="00CD1C15" w:rsidRPr="000B7C20">
        <w:rPr>
          <w:rFonts w:cs="Arial"/>
          <w:szCs w:val="24"/>
        </w:rPr>
        <w:t>.</w:t>
      </w:r>
      <w:r w:rsidR="00CD1C15" w:rsidRPr="000B7C20">
        <w:rPr>
          <w:rFonts w:cs="Arial"/>
          <w:b/>
          <w:szCs w:val="24"/>
        </w:rPr>
        <w:t xml:space="preserve"> </w:t>
      </w:r>
      <w:r w:rsidR="00CD1C15" w:rsidRPr="000B7C20">
        <w:rPr>
          <w:rFonts w:cs="Arial"/>
          <w:szCs w:val="24"/>
        </w:rPr>
        <w:t>The proposal is temporary in nature</w:t>
      </w:r>
      <w:r w:rsidR="00CD1C15" w:rsidRPr="000B7C20">
        <w:rPr>
          <w:rFonts w:cs="Arial"/>
          <w:b/>
          <w:szCs w:val="24"/>
        </w:rPr>
        <w:t xml:space="preserve">.   </w:t>
      </w:r>
      <w:r w:rsidR="00CD1C15" w:rsidRPr="000B7C20">
        <w:rPr>
          <w:rFonts w:cs="Arial"/>
          <w:szCs w:val="24"/>
        </w:rPr>
        <w:t xml:space="preserve">The proposed access routes are via A583 Preston New Road from both the Preston and Blackpool directions as well as utilising the M55 via junctions 3, near Medlar, and Junction 4 (Peel Hill). The M55 forms part of the Strategic Road Network and the Highways Agency have indicated the presented forecast volume of traffic generated by the development would not be likely to result in a material impact upon their network. </w:t>
      </w:r>
    </w:p>
    <w:p w:rsidR="000B7C20" w:rsidRDefault="00CD1C15" w:rsidP="00F067C1">
      <w:pPr>
        <w:spacing w:after="240"/>
        <w:jc w:val="both"/>
        <w:rPr>
          <w:rFonts w:cs="Arial"/>
          <w:szCs w:val="24"/>
        </w:rPr>
      </w:pPr>
      <w:r w:rsidRPr="000B7C20">
        <w:rPr>
          <w:rFonts w:cs="Arial"/>
          <w:szCs w:val="24"/>
        </w:rPr>
        <w:t>The A583 Preston New Road is a principal Distributor Road between Blackpool and Preston and it is considered that the increase in traffic from the proposal (which includes a large proportion of HGV's) can be accommodated on this part of the network.</w:t>
      </w:r>
    </w:p>
    <w:p w:rsidR="00CD1C15" w:rsidRPr="000B7C20" w:rsidRDefault="00CD1C15" w:rsidP="00F067C1">
      <w:pPr>
        <w:spacing w:after="240"/>
        <w:jc w:val="both"/>
        <w:rPr>
          <w:rFonts w:cs="Arial"/>
          <w:szCs w:val="24"/>
        </w:rPr>
      </w:pPr>
      <w:r w:rsidRPr="000B7C20">
        <w:rPr>
          <w:rFonts w:cs="Arial"/>
          <w:szCs w:val="24"/>
        </w:rPr>
        <w:t>The existing traffic figures on the network and the forecast volume generated by the development are presented in the submitted Transport Statement. The ES includes a number of tables that highlight 12hour traffic data for HGV’s and total vehicle flows (2way); and also peak hour (pm) flow which is compared against the theoretical capacity of the highway. The ES provides levels of generated HGV’s and light vehicles for a number of key stages being:</w:t>
      </w:r>
    </w:p>
    <w:p w:rsidR="00CD1C15" w:rsidRPr="000B7C20" w:rsidRDefault="00CD1C15" w:rsidP="00F067C1">
      <w:pPr>
        <w:numPr>
          <w:ilvl w:val="0"/>
          <w:numId w:val="10"/>
        </w:numPr>
        <w:jc w:val="both"/>
        <w:rPr>
          <w:rFonts w:cs="Arial"/>
          <w:szCs w:val="24"/>
        </w:rPr>
      </w:pPr>
      <w:r w:rsidRPr="000B7C20">
        <w:rPr>
          <w:rFonts w:cs="Arial"/>
          <w:szCs w:val="24"/>
        </w:rPr>
        <w:t>Site set up/construction,</w:t>
      </w:r>
    </w:p>
    <w:p w:rsidR="00CD1C15" w:rsidRPr="000B7C20" w:rsidRDefault="00CD1C15" w:rsidP="00F067C1">
      <w:pPr>
        <w:numPr>
          <w:ilvl w:val="0"/>
          <w:numId w:val="10"/>
        </w:numPr>
        <w:jc w:val="both"/>
        <w:rPr>
          <w:rFonts w:cs="Arial"/>
          <w:szCs w:val="24"/>
        </w:rPr>
      </w:pPr>
      <w:r w:rsidRPr="000B7C20">
        <w:rPr>
          <w:rFonts w:cs="Arial"/>
          <w:szCs w:val="24"/>
        </w:rPr>
        <w:t>Drilling (of wells),</w:t>
      </w:r>
    </w:p>
    <w:p w:rsidR="00CD1C15" w:rsidRPr="000B7C20" w:rsidRDefault="00CD1C15" w:rsidP="00F067C1">
      <w:pPr>
        <w:numPr>
          <w:ilvl w:val="0"/>
          <w:numId w:val="10"/>
        </w:numPr>
        <w:jc w:val="both"/>
        <w:rPr>
          <w:rFonts w:cs="Arial"/>
          <w:szCs w:val="24"/>
        </w:rPr>
      </w:pPr>
      <w:r w:rsidRPr="000B7C20">
        <w:rPr>
          <w:rFonts w:cs="Arial"/>
          <w:szCs w:val="24"/>
        </w:rPr>
        <w:lastRenderedPageBreak/>
        <w:t>Fracturing,</w:t>
      </w:r>
    </w:p>
    <w:p w:rsidR="00CD1C15" w:rsidRPr="000B7C20" w:rsidRDefault="00CD1C15" w:rsidP="00F067C1">
      <w:pPr>
        <w:numPr>
          <w:ilvl w:val="0"/>
          <w:numId w:val="10"/>
        </w:numPr>
        <w:jc w:val="both"/>
        <w:rPr>
          <w:rFonts w:cs="Arial"/>
          <w:szCs w:val="24"/>
        </w:rPr>
      </w:pPr>
      <w:r w:rsidRPr="000B7C20">
        <w:rPr>
          <w:rFonts w:cs="Arial"/>
          <w:szCs w:val="24"/>
        </w:rPr>
        <w:t>Testing, and</w:t>
      </w:r>
    </w:p>
    <w:p w:rsidR="00CD1C15" w:rsidRPr="000B7C20" w:rsidRDefault="00CD1C15" w:rsidP="00F067C1">
      <w:pPr>
        <w:numPr>
          <w:ilvl w:val="0"/>
          <w:numId w:val="11"/>
        </w:numPr>
        <w:jc w:val="both"/>
        <w:rPr>
          <w:rFonts w:cs="Arial"/>
          <w:szCs w:val="24"/>
        </w:rPr>
      </w:pPr>
      <w:r w:rsidRPr="000B7C20">
        <w:rPr>
          <w:rFonts w:cs="Arial"/>
          <w:szCs w:val="24"/>
        </w:rPr>
        <w:t>Decommissioning</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The information presented within the ES has been considered and additional analysis of potential generated trips per day for each phase which has resulted in differing numbers of vehicles. Forecasting for each stage includes greater levels of deliveries/servicing (HGV’s), security, visitors and staff which are considered reasonable. In addition the influence of program slippage (daily) has been considered as well as uncertainty during the fracturing stage. In addition the impacts during the peak period/hours have been considered. It is concluded that the impacts would be higher, the following simple table highlights that presented in the ES, the forecasts and the net difference.</w:t>
      </w:r>
    </w:p>
    <w:p w:rsidR="00CD1C15" w:rsidRPr="000B7C20" w:rsidRDefault="00CD1C15" w:rsidP="00F067C1">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7"/>
        <w:gridCol w:w="803"/>
        <w:gridCol w:w="924"/>
        <w:gridCol w:w="790"/>
        <w:gridCol w:w="803"/>
        <w:gridCol w:w="924"/>
        <w:gridCol w:w="790"/>
        <w:gridCol w:w="1191"/>
      </w:tblGrid>
      <w:tr w:rsidR="00CD1C15" w:rsidRPr="000B7C20" w:rsidTr="00CD1C15">
        <w:tc>
          <w:tcPr>
            <w:tcW w:w="8449" w:type="dxa"/>
            <w:gridSpan w:val="9"/>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Comparison of Environmental Statement Daily Maximum Data (2way) and that</w:t>
            </w:r>
          </w:p>
          <w:p w:rsidR="00CD1C15" w:rsidRPr="000B7C20" w:rsidRDefault="00CD1C15" w:rsidP="00F067C1">
            <w:pPr>
              <w:jc w:val="both"/>
              <w:rPr>
                <w:rFonts w:cs="Arial"/>
                <w:b/>
                <w:szCs w:val="24"/>
                <w:lang w:eastAsia="en-US"/>
              </w:rPr>
            </w:pPr>
            <w:r w:rsidRPr="000B7C20">
              <w:rPr>
                <w:rFonts w:cs="Arial"/>
                <w:b/>
                <w:szCs w:val="24"/>
              </w:rPr>
              <w:t>Considered by LCC Based on the Above Influences</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Stage</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Description</w:t>
            </w:r>
          </w:p>
        </w:tc>
        <w:tc>
          <w:tcPr>
            <w:tcW w:w="2361" w:type="dxa"/>
            <w:gridSpan w:val="3"/>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ES</w:t>
            </w:r>
          </w:p>
        </w:tc>
        <w:tc>
          <w:tcPr>
            <w:tcW w:w="2361" w:type="dxa"/>
            <w:gridSpan w:val="3"/>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LCC</w:t>
            </w:r>
          </w:p>
        </w:tc>
        <w:tc>
          <w:tcPr>
            <w:tcW w:w="1109"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Net Increase</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 xml:space="preserve">Light </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Heavy</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Total</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 xml:space="preserve">Light </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Heavy</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r>
      <w:tr w:rsidR="00CD1C15" w:rsidRPr="000B7C20" w:rsidTr="00CD1C15">
        <w:tc>
          <w:tcPr>
            <w:tcW w:w="82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Set up/Construction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60</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96</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40</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72</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94</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22</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Drilling</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70</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50</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89</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19</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Demobilisation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32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50</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82</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48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53</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101</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19</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43</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41</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77</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34</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Fracturing</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30</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54</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35</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71</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17</w:t>
            </w:r>
          </w:p>
        </w:tc>
      </w:tr>
      <w:tr w:rsidR="00CD1C15" w:rsidRPr="000B7C20" w:rsidTr="00CD1C15">
        <w:tc>
          <w:tcPr>
            <w:tcW w:w="82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w:t>
            </w:r>
          </w:p>
        </w:tc>
        <w:tc>
          <w:tcPr>
            <w:tcW w:w="7624" w:type="dxa"/>
            <w:gridSpan w:val="8"/>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Impacts lower than those highlighted above</w:t>
            </w:r>
          </w:p>
        </w:tc>
      </w:tr>
    </w:tbl>
    <w:p w:rsidR="00CD1C15" w:rsidRPr="000B7C20" w:rsidRDefault="00CD1C15" w:rsidP="00F067C1">
      <w:pPr>
        <w:jc w:val="both"/>
        <w:rPr>
          <w:rFonts w:cs="Arial"/>
          <w:szCs w:val="24"/>
          <w:lang w:eastAsia="en-US"/>
        </w:rPr>
      </w:pPr>
    </w:p>
    <w:p w:rsidR="00CD1C15" w:rsidRPr="000B7C20" w:rsidRDefault="00CD1C15" w:rsidP="00F067C1">
      <w:pPr>
        <w:jc w:val="both"/>
        <w:rPr>
          <w:rFonts w:cs="Arial"/>
          <w:szCs w:val="24"/>
        </w:rPr>
      </w:pPr>
      <w:r w:rsidRPr="000B7C20">
        <w:rPr>
          <w:rFonts w:cs="Arial"/>
          <w:szCs w:val="24"/>
        </w:rPr>
        <w:lastRenderedPageBreak/>
        <w:t>These (LCC) maximum daily flows highlighted above, are not at a level that are a significant cause for concern when location and appropriate routeing options to access the site without conflict or compromising the surrounding network or environment is considered. This assumes that suitable access is delivered together with other supporting changes.</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 ES included limited information on peak periods. The peak hours for the highest occurring stage which results in the demobilisation (and cleanout) stage (as highlighted in bold in the table), which is expected to last for 2 days.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Assuming that a daily profile based 30-35% of all HGV’s and 45% of all cars arriving and departing in each peak period that lasts up to 90mins with the remaining 30-40% of HGV’s and 10% cars being prorated throughout the day. Based on this would result in up to 14HGV and 14 cars movements (2way) during each peak hour. As above, these (LCC) maximum hourly flows are not at a level that are a significant cause for concern when location and appropriate routeing options to access the site without conflict or compromising the surrounding network or environment is considered. This assumes that suitable access is delivered together with other supporting changes.</w:t>
      </w:r>
    </w:p>
    <w:p w:rsidR="00CD1C15" w:rsidRPr="000B7C20" w:rsidRDefault="00CD1C15" w:rsidP="00F067C1">
      <w:pPr>
        <w:jc w:val="both"/>
        <w:rPr>
          <w:rFonts w:cs="Arial"/>
          <w:color w:val="FF0000"/>
          <w:szCs w:val="24"/>
        </w:rPr>
      </w:pPr>
    </w:p>
    <w:p w:rsidR="00CD1C15" w:rsidRPr="000B7C20" w:rsidRDefault="00CD1C15" w:rsidP="00F067C1">
      <w:pPr>
        <w:jc w:val="both"/>
        <w:rPr>
          <w:rFonts w:cs="Arial"/>
          <w:szCs w:val="24"/>
        </w:rPr>
      </w:pPr>
      <w:r w:rsidRPr="000B7C20">
        <w:rPr>
          <w:rFonts w:cs="Arial"/>
          <w:szCs w:val="24"/>
        </w:rPr>
        <w:t xml:space="preserve">Given the differences in assessment flows an area wide Monitoring Regime should be put in place to provide detailed information regarding actual traffic generated by the proposal by type including </w:t>
      </w:r>
      <w:r w:rsidRPr="000B7C20">
        <w:rPr>
          <w:rFonts w:cs="Arial"/>
          <w:szCs w:val="24"/>
        </w:rPr>
        <w:lastRenderedPageBreak/>
        <w:t>time of day. This would help to identify if any changes to the site operation or routeing in line with background changes and this information could be used by the developer to better inform any future, similar, proposals for exploration/monitoring at other sites.</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Given the increase in HGV numbers it is also considered appropriate for a road condition monitoring regime to be put in place and which would ensure the condition of the local highway in the vicinity of the site is monitored and maintained as appropriate.</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There are very limited pedestrian movements in location of the site access. There are no Public Rights of Way or Bridleways in the immediate vicinity of the site or the site access. A footway is present on the south side of the A583. There are road cycle lanes in both directions on A583 Preston New Road in the vicinity of the proposed site access. The on road cycle lanes should be maintained at 1.5m through the proposed site access and the detailed design, to be agreed, should include measures to enhance the visibility and safety of the on-road cycle lanes. This should include cycle symbol markings, coloured surfacing and signing. </w:t>
      </w:r>
    </w:p>
    <w:p w:rsidR="00B05FFE" w:rsidRDefault="00B05FFE"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Accident Data has been provided in Appendix C of the Transport Statement for a five year period between 2008 and 2013. In the study area there were four accidents in the last five years. With consideration for the existing accident record it is not expected that the increase in traffic from the proposal will have a material impact on safety on this part of the network.</w:t>
      </w:r>
    </w:p>
    <w:p w:rsidR="00CD1C15" w:rsidRPr="000B7C20" w:rsidRDefault="00CD1C15" w:rsidP="00F067C1">
      <w:pPr>
        <w:jc w:val="both"/>
        <w:rPr>
          <w:rFonts w:cs="Arial"/>
          <w:color w:val="4F81BD"/>
          <w:szCs w:val="24"/>
        </w:rPr>
      </w:pPr>
    </w:p>
    <w:p w:rsidR="00CD1C15" w:rsidRPr="000B7C20" w:rsidRDefault="00CD1C15" w:rsidP="00F067C1">
      <w:pPr>
        <w:jc w:val="both"/>
        <w:rPr>
          <w:rFonts w:cs="Arial"/>
          <w:szCs w:val="24"/>
        </w:rPr>
      </w:pPr>
      <w:r w:rsidRPr="000B7C20">
        <w:rPr>
          <w:rFonts w:cs="Arial"/>
          <w:szCs w:val="24"/>
        </w:rPr>
        <w:t>The proposed main site access is shown in ARUP drawing, Figure 2 of the Transport Statement (Drawing PNR-ARP-CH-001)</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 secondary access is proposed some 800m to the west. This 'Farm Gate' style access is only to be used by National Grid for occasional maintenance purposes. This access is shown in ARUP drawing, Figure 3 of the Transport Statement (Drawing PNR-ARP-CH-002).</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The speed limit on the A583 in the vicinity of the proposed junction is 50mph. Visibility splays of 4.5m x 215m have been agreed in each direction and should be provided and maintained for the duration of the use of the site access. In addition suitable junction turning radii will be required to allow large vehicles to enter/exit the junction without undue delay on the mainline which would impact on the safe operation of traffic on the A583. The junction layout to allow for a HGV to enter at the same time as a second HGV is waiting to exit.</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The layout of the site access road is shown it to be proposed as 4m wide. This is not adequate to allow two HGV's to pass and would result in large vehicles waiting on the main A583 carriageway and which would not be acceptable). Adequate road width is required exiting/entering the highway for a distance on the access road that includes sufficient space for waiting HGV vehicles to ensure no parked/stationary vehicles on the public highway (at any time).</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 Stage 1 Road Safety Audit has identified that the existing centreline and hatching markings mean that some drivers/riders may attempt to overtake close to the site access. The main road right turn facility should be protected by a double white line system on both approaches.  This needs to be delivered by the development as part of the offsite highway works.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Advanced warning signs will be required to inform road users of the new road layout ahead and any necessary signing will be incorporated into the detailed design of the main access junction, which is to be delivered as part of a s278 agreement.</w:t>
      </w:r>
    </w:p>
    <w:p w:rsidR="00CD1C15" w:rsidRPr="000B7C20" w:rsidRDefault="00CD1C15" w:rsidP="00F067C1">
      <w:pPr>
        <w:jc w:val="both"/>
        <w:rPr>
          <w:rFonts w:cs="Arial"/>
          <w:color w:val="4F81BD"/>
          <w:szCs w:val="24"/>
        </w:rPr>
      </w:pPr>
    </w:p>
    <w:p w:rsidR="00CD1C15" w:rsidRPr="000B7C20" w:rsidRDefault="00CD1C15" w:rsidP="00F067C1">
      <w:pPr>
        <w:jc w:val="both"/>
        <w:rPr>
          <w:rFonts w:cs="Arial"/>
          <w:szCs w:val="24"/>
        </w:rPr>
      </w:pPr>
      <w:r w:rsidRPr="000B7C20">
        <w:rPr>
          <w:rFonts w:cs="Arial"/>
          <w:szCs w:val="24"/>
        </w:rPr>
        <w:t xml:space="preserve">Parking on site must be adequate to ensure that site vehicles do not park, even temporarily, on the A583 or on the site access road thus impacting on the safe and efficient movement of the highway network.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In regard to the dirt and dust created by site construction and exploration works traffic, this will need to be managed. Wheel washing facilities will be necessary and this should be controlled by an appropriate condition.</w:t>
      </w:r>
    </w:p>
    <w:p w:rsidR="00CD1C15" w:rsidRPr="000B7C20" w:rsidRDefault="00CD1C15" w:rsidP="00F067C1">
      <w:pPr>
        <w:jc w:val="both"/>
        <w:rPr>
          <w:rFonts w:cs="Arial"/>
          <w:color w:val="FF0000"/>
          <w:szCs w:val="24"/>
        </w:rPr>
      </w:pPr>
    </w:p>
    <w:p w:rsidR="00CD1C15" w:rsidRPr="000B7C20" w:rsidRDefault="00CD1C15" w:rsidP="00F067C1">
      <w:pPr>
        <w:jc w:val="both"/>
        <w:rPr>
          <w:rFonts w:cs="Arial"/>
          <w:szCs w:val="24"/>
        </w:rPr>
      </w:pPr>
      <w:r w:rsidRPr="000B7C20">
        <w:rPr>
          <w:rFonts w:cs="Arial"/>
          <w:szCs w:val="24"/>
        </w:rPr>
        <w:t xml:space="preserve">Should planning permission be granted conditions relating to details </w:t>
      </w:r>
      <w:r w:rsidR="000B7C20" w:rsidRPr="000B7C20">
        <w:rPr>
          <w:rFonts w:cs="Arial"/>
          <w:szCs w:val="24"/>
        </w:rPr>
        <w:t xml:space="preserve">required to be submitted </w:t>
      </w:r>
      <w:r w:rsidRPr="000B7C20">
        <w:rPr>
          <w:rFonts w:cs="Arial"/>
          <w:szCs w:val="24"/>
        </w:rPr>
        <w:t>for the construction of the access points to the site, the internal access road, traffic management plan, off site highway works, construction method statement</w:t>
      </w:r>
      <w:r w:rsidR="000B7C20" w:rsidRPr="000B7C20">
        <w:rPr>
          <w:rFonts w:cs="Arial"/>
          <w:szCs w:val="24"/>
        </w:rPr>
        <w:t xml:space="preserve">, monitoring of </w:t>
      </w:r>
      <w:r w:rsidR="000B7C20" w:rsidRPr="000B7C20">
        <w:rPr>
          <w:rFonts w:cs="Arial"/>
          <w:szCs w:val="24"/>
        </w:rPr>
        <w:lastRenderedPageBreak/>
        <w:t xml:space="preserve">highway conditions, provision of drainage, and measures to prevent air and ground and surface water pollution </w:t>
      </w:r>
      <w:r w:rsidRPr="000B7C20">
        <w:rPr>
          <w:rFonts w:cs="Arial"/>
          <w:szCs w:val="24"/>
        </w:rPr>
        <w:t xml:space="preserve">should be imposed. </w:t>
      </w:r>
    </w:p>
    <w:p w:rsidR="00CD1C15" w:rsidRDefault="00CD1C15" w:rsidP="00F067C1">
      <w:pPr>
        <w:jc w:val="both"/>
        <w:rPr>
          <w:rFonts w:cs="Arial"/>
          <w:sz w:val="22"/>
          <w:szCs w:val="22"/>
        </w:rPr>
      </w:pPr>
    </w:p>
    <w:p w:rsidR="00221CF1" w:rsidRPr="00FD54B7" w:rsidRDefault="00221CF1" w:rsidP="00F067C1">
      <w:pPr>
        <w:jc w:val="both"/>
        <w:rPr>
          <w:szCs w:val="24"/>
          <w:lang w:eastAsia="en-US"/>
        </w:rPr>
      </w:pPr>
      <w:r w:rsidRPr="001D5D5B">
        <w:rPr>
          <w:b/>
          <w:szCs w:val="24"/>
        </w:rPr>
        <w:t>Westby-with- Plumptons Parish Council</w:t>
      </w:r>
      <w:r w:rsidR="0072445D" w:rsidRPr="001D5D5B">
        <w:rPr>
          <w:b/>
          <w:szCs w:val="24"/>
        </w:rPr>
        <w:t xml:space="preserve"> and</w:t>
      </w:r>
      <w:r w:rsidRPr="001D5D5B">
        <w:rPr>
          <w:b/>
          <w:szCs w:val="24"/>
        </w:rPr>
        <w:t xml:space="preserve"> </w:t>
      </w:r>
      <w:r w:rsidRPr="001D5D5B">
        <w:rPr>
          <w:b/>
        </w:rPr>
        <w:t>Medlar-with-Wesham Parish Council and Kirkham Town Council</w:t>
      </w:r>
      <w:r w:rsidR="001D5D5B">
        <w:t>: Object</w:t>
      </w:r>
      <w:r w:rsidR="0072445D">
        <w:t xml:space="preserve"> to the </w:t>
      </w:r>
      <w:r w:rsidR="009564C5">
        <w:t>proposed</w:t>
      </w:r>
      <w:r w:rsidR="0072445D">
        <w:t xml:space="preserve"> increase in HGV movements and the associated impact on the highway and amenity of nearby residents. </w:t>
      </w:r>
      <w:r w:rsidRPr="00FD54B7">
        <w:rPr>
          <w:szCs w:val="24"/>
          <w:lang w:eastAsia="en-US"/>
        </w:rPr>
        <w:t>CPRE</w:t>
      </w:r>
      <w:r w:rsidR="0072445D" w:rsidRPr="00FD54B7">
        <w:rPr>
          <w:szCs w:val="24"/>
          <w:lang w:eastAsia="en-US"/>
        </w:rPr>
        <w:t xml:space="preserve"> propose that </w:t>
      </w:r>
      <w:r w:rsidRPr="00FD54B7">
        <w:rPr>
          <w:szCs w:val="24"/>
          <w:lang w:eastAsia="en-US"/>
        </w:rPr>
        <w:t xml:space="preserve">heavy good vehicles servicing the site </w:t>
      </w:r>
      <w:r w:rsidR="009564C5" w:rsidRPr="00FD54B7">
        <w:rPr>
          <w:szCs w:val="24"/>
          <w:lang w:eastAsia="en-US"/>
        </w:rPr>
        <w:t>should</w:t>
      </w:r>
      <w:r w:rsidRPr="00FD54B7">
        <w:rPr>
          <w:szCs w:val="24"/>
          <w:lang w:eastAsia="en-US"/>
        </w:rPr>
        <w:t xml:space="preserve"> not operate or park in the vicinity of the site (but may park on the site) during the overnight period 2100-0700 and </w:t>
      </w:r>
      <w:r w:rsidR="0072445D" w:rsidRPr="00FD54B7">
        <w:rPr>
          <w:szCs w:val="24"/>
          <w:lang w:eastAsia="en-US"/>
        </w:rPr>
        <w:t xml:space="preserve">that the operator should </w:t>
      </w:r>
      <w:r w:rsidRPr="00FD54B7">
        <w:rPr>
          <w:szCs w:val="24"/>
          <w:lang w:eastAsia="en-US"/>
        </w:rPr>
        <w:t>not move heavy plant or equipment to or from the site during the same period without the consent of the Highway Authority. In addition, operation procedures provide for and ensure the use of wheel cleaning equipment for vehicles leaving the site and ensure that the local highways are kept clear of mud and debris emanating from the site</w:t>
      </w:r>
    </w:p>
    <w:p w:rsidR="0072445D" w:rsidRPr="00FD54B7" w:rsidRDefault="0072445D" w:rsidP="00F067C1">
      <w:pPr>
        <w:jc w:val="both"/>
        <w:rPr>
          <w:szCs w:val="24"/>
          <w:lang w:eastAsia="en-US"/>
        </w:rPr>
      </w:pPr>
    </w:p>
    <w:p w:rsidR="0072445D" w:rsidRDefault="001D5D5B" w:rsidP="00F067C1">
      <w:pPr>
        <w:jc w:val="both"/>
        <w:rPr>
          <w:rFonts w:ascii="TTE742o00" w:eastAsiaTheme="minorHAnsi" w:hAnsi="TTE742o00" w:cs="TTE742o00"/>
          <w:szCs w:val="24"/>
          <w:lang w:eastAsia="en-US"/>
        </w:rPr>
      </w:pPr>
      <w:r w:rsidRPr="001D5D5B">
        <w:rPr>
          <w:b/>
          <w:szCs w:val="24"/>
          <w:lang w:eastAsia="en-US"/>
        </w:rPr>
        <w:t xml:space="preserve">LCC </w:t>
      </w:r>
      <w:r w:rsidR="0072445D" w:rsidRPr="001D5D5B">
        <w:rPr>
          <w:b/>
          <w:szCs w:val="24"/>
          <w:lang w:eastAsia="en-US"/>
        </w:rPr>
        <w:t>Director of Public Health</w:t>
      </w:r>
      <w:r w:rsidRPr="001D5D5B">
        <w:rPr>
          <w:b/>
          <w:szCs w:val="24"/>
          <w:lang w:eastAsia="en-US"/>
        </w:rPr>
        <w:t>:</w:t>
      </w:r>
      <w:r w:rsidR="0072445D" w:rsidRPr="00FD54B7">
        <w:rPr>
          <w:szCs w:val="24"/>
          <w:lang w:eastAsia="en-US"/>
        </w:rPr>
        <w:t xml:space="preserve"> has requested that </w:t>
      </w:r>
      <w:r w:rsidR="0072445D">
        <w:rPr>
          <w:szCs w:val="24"/>
          <w:lang w:eastAsia="en-US"/>
        </w:rPr>
        <w:t>a</w:t>
      </w:r>
      <w:r w:rsidR="0072445D" w:rsidRPr="00182D10">
        <w:rPr>
          <w:rFonts w:ascii="TTE742o00" w:eastAsiaTheme="minorHAnsi" w:hAnsi="TTE742o00" w:cs="TTE742o00"/>
          <w:szCs w:val="24"/>
          <w:lang w:eastAsia="en-US"/>
        </w:rPr>
        <w:t xml:space="preserve"> full assessment of the impacts of additional traffic associated with the</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proposals on road safety should be carried out and appropriate traffic</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 xml:space="preserve">management options considered to address the public </w:t>
      </w:r>
      <w:r w:rsidR="009564C5" w:rsidRPr="00182D10">
        <w:rPr>
          <w:rFonts w:ascii="TTE742o00" w:eastAsiaTheme="minorHAnsi" w:hAnsi="TTE742o00" w:cs="TTE742o00"/>
          <w:szCs w:val="24"/>
          <w:lang w:eastAsia="en-US"/>
        </w:rPr>
        <w:t>concerns.</w:t>
      </w:r>
      <w:r w:rsidR="009564C5">
        <w:rPr>
          <w:rFonts w:ascii="TTE742o00" w:eastAsiaTheme="minorHAnsi" w:hAnsi="TTE742o00" w:cs="TTE742o00"/>
          <w:szCs w:val="24"/>
          <w:lang w:eastAsia="en-US"/>
        </w:rPr>
        <w:t xml:space="preserve"> Further</w:t>
      </w:r>
      <w:r w:rsidR="0072445D">
        <w:rPr>
          <w:rFonts w:ascii="TTE742o00" w:eastAsiaTheme="minorHAnsi" w:hAnsi="TTE742o00" w:cs="TTE742o00"/>
          <w:szCs w:val="24"/>
          <w:lang w:eastAsia="en-US"/>
        </w:rPr>
        <w:t>, should</w:t>
      </w:r>
      <w:r w:rsidR="0072445D" w:rsidRPr="00182D10">
        <w:rPr>
          <w:rFonts w:ascii="TTE742o00" w:eastAsiaTheme="minorHAnsi" w:hAnsi="TTE742o00" w:cs="TTE742o00"/>
          <w:szCs w:val="24"/>
          <w:lang w:eastAsia="en-US"/>
        </w:rPr>
        <w:t xml:space="preserve"> planning permission be granted, provision should be made with the</w:t>
      </w:r>
      <w:r w:rsidR="0072445D">
        <w:rPr>
          <w:rFonts w:ascii="TTE742o00" w:eastAsiaTheme="minorHAnsi" w:hAnsi="TTE742o00" w:cs="TTE742o00"/>
          <w:szCs w:val="24"/>
          <w:lang w:eastAsia="en-US"/>
        </w:rPr>
        <w:t xml:space="preserve"> a</w:t>
      </w:r>
      <w:r w:rsidR="0072445D" w:rsidRPr="00182D10">
        <w:rPr>
          <w:rFonts w:ascii="TTE742o00" w:eastAsiaTheme="minorHAnsi" w:hAnsi="TTE742o00" w:cs="TTE742o00"/>
          <w:szCs w:val="24"/>
          <w:lang w:eastAsia="en-US"/>
        </w:rPr>
        <w:t>pplicant to maintain road safety, and road safety and any related incidents on the access</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to both the sites should be monitored</w:t>
      </w:r>
      <w:r w:rsidR="0072445D">
        <w:rPr>
          <w:rFonts w:ascii="TTE742o00" w:eastAsiaTheme="minorHAnsi" w:hAnsi="TTE742o00" w:cs="TTE742o00"/>
          <w:szCs w:val="24"/>
          <w:lang w:eastAsia="en-US"/>
        </w:rPr>
        <w:t>.</w:t>
      </w:r>
    </w:p>
    <w:p w:rsidR="00FD54B7" w:rsidRPr="00FD54B7" w:rsidRDefault="00FD54B7" w:rsidP="00F067C1">
      <w:pPr>
        <w:jc w:val="both"/>
        <w:rPr>
          <w:rFonts w:ascii="TTE742o00" w:eastAsiaTheme="minorHAnsi" w:hAnsi="TTE742o00" w:cs="TTE742o00"/>
          <w:szCs w:val="24"/>
          <w:lang w:eastAsia="en-US"/>
        </w:rPr>
      </w:pPr>
    </w:p>
    <w:p w:rsidR="00AB45E6" w:rsidRDefault="009D3D0A" w:rsidP="00F067C1">
      <w:pPr>
        <w:jc w:val="both"/>
      </w:pPr>
      <w:r>
        <w:lastRenderedPageBreak/>
        <w:t>Representations have been received objecting to the proposal principally due to the increased numbers of HGV's travelling to and from the site delivering materials and the risks associated with such, primarily associated with waste water from the fracturing operations.</w:t>
      </w:r>
    </w:p>
    <w:p w:rsidR="009D3D0A" w:rsidRDefault="009D3D0A" w:rsidP="00F067C1">
      <w:pPr>
        <w:jc w:val="both"/>
      </w:pPr>
    </w:p>
    <w:p w:rsidR="009D3D0A" w:rsidRDefault="009D3D0A" w:rsidP="00F067C1">
      <w:pPr>
        <w:jc w:val="both"/>
      </w:pPr>
      <w:r>
        <w:t xml:space="preserve">Concern is expressed to the site access and the conflicts it would cause with existing traffic, pedestrians, </w:t>
      </w:r>
      <w:r w:rsidR="009564C5">
        <w:t>horse riders</w:t>
      </w:r>
      <w:r w:rsidR="00894D70">
        <w:t xml:space="preserve">, bus services and bus stops and local access issues for residents at Foxwood Chase and Carr Bridge Park and the impacts on the </w:t>
      </w:r>
      <w:r w:rsidR="009564C5">
        <w:t>amenities</w:t>
      </w:r>
      <w:r w:rsidR="00894D70">
        <w:t xml:space="preserve"> of nearby residents due to the increase in numbers of vehicles and associated noise and vibration.</w:t>
      </w:r>
    </w:p>
    <w:p w:rsidR="00894D70" w:rsidRDefault="00894D70" w:rsidP="00F067C1">
      <w:pPr>
        <w:jc w:val="both"/>
      </w:pPr>
    </w:p>
    <w:p w:rsidR="00894D70" w:rsidRDefault="00894D70" w:rsidP="00F067C1">
      <w:pPr>
        <w:jc w:val="both"/>
      </w:pPr>
      <w:r>
        <w:t>It is maintained the proposal would be contrary to policies SP7 and SP9 of the Fylde Local Plan.</w:t>
      </w:r>
    </w:p>
    <w:p w:rsidR="00894D70" w:rsidRDefault="00894D70" w:rsidP="00F067C1">
      <w:pPr>
        <w:jc w:val="both"/>
      </w:pPr>
    </w:p>
    <w:p w:rsidR="00894D70" w:rsidRPr="00894D70" w:rsidRDefault="00894D70" w:rsidP="00F067C1">
      <w:pPr>
        <w:jc w:val="both"/>
        <w:rPr>
          <w:b/>
        </w:rPr>
      </w:pPr>
      <w:r w:rsidRPr="00894D70">
        <w:rPr>
          <w:b/>
        </w:rPr>
        <w:t>Assessment</w:t>
      </w:r>
    </w:p>
    <w:p w:rsidR="00894D70" w:rsidRDefault="00894D70" w:rsidP="00F067C1">
      <w:pPr>
        <w:jc w:val="both"/>
      </w:pPr>
    </w:p>
    <w:p w:rsidR="00B175C0" w:rsidRDefault="009528BD" w:rsidP="00F067C1">
      <w:pPr>
        <w:jc w:val="both"/>
      </w:pPr>
      <w:r>
        <w:t>The site is located on the A5</w:t>
      </w:r>
      <w:r w:rsidR="00B175C0">
        <w:t xml:space="preserve">83 which is a major highway carrying around 13,000 vehicles per day including over 250 HGV's. The proposed development would therefore only increase total traffic on this road by around 1%. The increase in HGV's would be greater but would still be within the carrying capacity of this road. In either direction, the A583 enables access to the motorway network without passing any major residential communities </w:t>
      </w:r>
      <w:r w:rsidR="004E7E8C">
        <w:t>or locations with established highway safety of capacity issues and therefore either route to the M55 is</w:t>
      </w:r>
      <w:r w:rsidR="00B175C0">
        <w:t xml:space="preserve"> considered to be an acceptable route for the traffic that would be generated by this proposal. </w:t>
      </w:r>
      <w:r w:rsidR="00CA0C39" w:rsidRPr="007D6ECA">
        <w:t xml:space="preserve">LCC Developer </w:t>
      </w:r>
      <w:r w:rsidR="00CA0C39" w:rsidRPr="007D6ECA">
        <w:lastRenderedPageBreak/>
        <w:t xml:space="preserve">Support (Highways) </w:t>
      </w:r>
      <w:r w:rsidR="009564C5" w:rsidRPr="007D6ECA">
        <w:t>considers</w:t>
      </w:r>
      <w:r w:rsidR="00CA0C39" w:rsidRPr="007D6ECA">
        <w:t xml:space="preserve"> that </w:t>
      </w:r>
      <w:r w:rsidR="000B7C20" w:rsidRPr="007D6ECA">
        <w:t>the proposed routing and existing highway network is capable of accommodating the predicted traffic levels for each phase of the proposed development over a temporary period</w:t>
      </w:r>
      <w:r w:rsidR="00CA0C39" w:rsidRPr="007D6ECA">
        <w:t>.</w:t>
      </w:r>
      <w:r w:rsidR="000B7C20">
        <w:t xml:space="preserve"> It is </w:t>
      </w:r>
      <w:r w:rsidR="007D6ECA">
        <w:t>recommended</w:t>
      </w:r>
      <w:r w:rsidR="000B7C20">
        <w:t xml:space="preserve"> further details would be required regarding </w:t>
      </w:r>
      <w:r w:rsidR="000B7C20" w:rsidRPr="000B7C20">
        <w:rPr>
          <w:rFonts w:cs="Arial"/>
          <w:szCs w:val="24"/>
        </w:rPr>
        <w:t>the construction of the access points to the site, the internal access road, traffic management plan, off site highway works, construction method statement, monitoring of highway conditions, provision of drainage and measures to prevent air and ground and surface water pollution</w:t>
      </w:r>
      <w:r w:rsidR="000B7C20">
        <w:rPr>
          <w:rFonts w:cs="Arial"/>
          <w:szCs w:val="24"/>
        </w:rPr>
        <w:t xml:space="preserve"> and which could be required by condition.</w:t>
      </w:r>
    </w:p>
    <w:p w:rsidR="004E7E8C" w:rsidRDefault="004E7E8C" w:rsidP="00F067C1">
      <w:pPr>
        <w:jc w:val="both"/>
      </w:pPr>
    </w:p>
    <w:p w:rsidR="004E7E8C" w:rsidRDefault="004E7E8C" w:rsidP="00F067C1">
      <w:pPr>
        <w:jc w:val="both"/>
      </w:pPr>
      <w:r>
        <w:t xml:space="preserve">In terms of detailed design, the applicant proposes to modify the existing road markings on the A583 in the vicinity of the proposed access so that part of the existing cross hatched area in the centre of the road is converted into a dedicated right turn lane. Such arrangements would prevent traffic delays on the A583 caused by vehicles turning into the site and would also enhance road safety. The design of the junction has been the subject of a safety audit which has recommended that the right turn facility be protected by no overtaking lines on the approach to the junction and also to ensure that the lanes past the central refuge are of adequate width to ensure cyclist safety is not compromised. </w:t>
      </w:r>
    </w:p>
    <w:p w:rsidR="00FD54B7" w:rsidRDefault="00FD54B7" w:rsidP="00F067C1">
      <w:pPr>
        <w:jc w:val="both"/>
      </w:pPr>
    </w:p>
    <w:p w:rsidR="004E7E8C" w:rsidRDefault="00894D70" w:rsidP="00F067C1">
      <w:pPr>
        <w:jc w:val="both"/>
      </w:pPr>
      <w:r>
        <w:t>The Highways Agency is satisfied the strategic network can accommodate the proposed increase in traffic and subject to conditions relating to the access, LCC Developer Support (Highways) is satisfied the access could b safely accommodated.</w:t>
      </w:r>
    </w:p>
    <w:p w:rsidR="00763652" w:rsidRDefault="00763652" w:rsidP="00F067C1">
      <w:pPr>
        <w:jc w:val="both"/>
      </w:pPr>
    </w:p>
    <w:p w:rsidR="00763652" w:rsidRDefault="00763652" w:rsidP="00F067C1">
      <w:pPr>
        <w:jc w:val="both"/>
      </w:pPr>
      <w:r>
        <w:t xml:space="preserve">The site would generate an increase in HGV movements on the strategic highway network but which it is considered capable of accommodating. The proposed route via the motorway network would be acceptable and would not pass through any major residential areas. There would be some localised impact on the nearest residential properties at Foxwood Chase but the impacts associated with such for a temporary period on a </w:t>
      </w:r>
      <w:r w:rsidR="009564C5">
        <w:t>strategic</w:t>
      </w:r>
      <w:r>
        <w:t xml:space="preserve"> highway are not considered to be so great as to constitute a sustainable reason for refusal.</w:t>
      </w:r>
      <w:r w:rsidR="00FD54B7">
        <w:t xml:space="preserve"> It is considered there would be no greater impact on </w:t>
      </w:r>
      <w:r w:rsidR="009564C5">
        <w:t>residents</w:t>
      </w:r>
      <w:r w:rsidR="00FD54B7">
        <w:t xml:space="preserve"> at Carr Bridge as a result of the increase in traffic. Such an increase would </w:t>
      </w:r>
      <w:r w:rsidR="009564C5">
        <w:t>be</w:t>
      </w:r>
      <w:r w:rsidR="00FD54B7">
        <w:t xml:space="preserve"> </w:t>
      </w:r>
      <w:r w:rsidR="009564C5">
        <w:t>temporary</w:t>
      </w:r>
      <w:r w:rsidR="00FD54B7">
        <w:t xml:space="preserve"> and </w:t>
      </w:r>
      <w:r w:rsidR="00F76EB0">
        <w:t xml:space="preserve">relative to different phases of the development unlike increases in traffic associated with more permanent forms of development. </w:t>
      </w:r>
      <w:r w:rsidR="00FD54B7">
        <w:t xml:space="preserve"> The policies referred to are no</w:t>
      </w:r>
      <w:r w:rsidR="00F76EB0">
        <w:t>t</w:t>
      </w:r>
      <w:r w:rsidR="00FD54B7">
        <w:t xml:space="preserve"> relevant to developments of this nature</w:t>
      </w:r>
      <w:r w:rsidR="00F76EB0">
        <w:t xml:space="preserve">. </w:t>
      </w:r>
    </w:p>
    <w:p w:rsidR="00894D70" w:rsidRDefault="00894D70" w:rsidP="00F067C1">
      <w:pPr>
        <w:jc w:val="both"/>
      </w:pPr>
    </w:p>
    <w:p w:rsidR="0060157C" w:rsidRDefault="0060157C" w:rsidP="00F067C1">
      <w:pPr>
        <w:jc w:val="both"/>
      </w:pPr>
      <w:r>
        <w:t xml:space="preserve">It is therefore considered that the proposal would not </w:t>
      </w:r>
      <w:r w:rsidR="007D6ECA">
        <w:t xml:space="preserve">generate unacceptable increase in vehicle movements, that the existing highway could accommodate such and consequently the proposal would not be </w:t>
      </w:r>
      <w:r>
        <w:t>in conflict with the policies of the development plan.</w:t>
      </w:r>
    </w:p>
    <w:p w:rsidR="0060157C" w:rsidRDefault="0060157C" w:rsidP="00F067C1">
      <w:pPr>
        <w:jc w:val="both"/>
      </w:pPr>
    </w:p>
    <w:p w:rsidR="00894D70" w:rsidRPr="00763652" w:rsidRDefault="00894D70" w:rsidP="00F067C1">
      <w:pPr>
        <w:jc w:val="both"/>
        <w:rPr>
          <w:b/>
        </w:rPr>
      </w:pPr>
      <w:r w:rsidRPr="00763652">
        <w:rPr>
          <w:b/>
        </w:rPr>
        <w:t>Conclusions</w:t>
      </w:r>
    </w:p>
    <w:p w:rsidR="00894D70" w:rsidRDefault="00894D70" w:rsidP="00F067C1">
      <w:pPr>
        <w:jc w:val="both"/>
      </w:pPr>
    </w:p>
    <w:p w:rsidR="00F27F10" w:rsidRDefault="00F76EB0" w:rsidP="00F067C1">
      <w:pPr>
        <w:jc w:val="both"/>
      </w:pPr>
      <w:r>
        <w:t xml:space="preserve">The proposed route via the motorway network would be acceptable and would not pass through any major residential areas. </w:t>
      </w:r>
      <w:r w:rsidR="00894D70">
        <w:t>The</w:t>
      </w:r>
      <w:r w:rsidR="000C0E4B">
        <w:t>re would be</w:t>
      </w:r>
      <w:r w:rsidR="00894D70">
        <w:t xml:space="preserve"> an increase in HGV movements on the strategic highway </w:t>
      </w:r>
      <w:r w:rsidR="00894D70">
        <w:lastRenderedPageBreak/>
        <w:t>network</w:t>
      </w:r>
      <w:r w:rsidR="00763652">
        <w:t xml:space="preserve"> but </w:t>
      </w:r>
      <w:r w:rsidR="000C0E4B">
        <w:t>it is considered there is sufficient capacity to accommodate</w:t>
      </w:r>
      <w:r>
        <w:t xml:space="preserve"> such</w:t>
      </w:r>
      <w:r w:rsidR="00763652">
        <w:t xml:space="preserve">. </w:t>
      </w:r>
    </w:p>
    <w:p w:rsidR="00F27F10" w:rsidRDefault="00F27F10" w:rsidP="00F067C1">
      <w:pPr>
        <w:jc w:val="both"/>
      </w:pPr>
    </w:p>
    <w:p w:rsidR="00363EF2" w:rsidRDefault="00763652" w:rsidP="00F067C1">
      <w:pPr>
        <w:jc w:val="both"/>
      </w:pPr>
      <w:r>
        <w:t xml:space="preserve">There would be </w:t>
      </w:r>
      <w:r w:rsidR="00F76EB0">
        <w:t>some localised loss of amenity</w:t>
      </w:r>
      <w:r w:rsidR="000C0E4B">
        <w:t xml:space="preserve"> as a result of an increase in movements,</w:t>
      </w:r>
      <w:r w:rsidR="00F76EB0">
        <w:t xml:space="preserve"> most particularly to those residential properties close to the access</w:t>
      </w:r>
      <w:r w:rsidR="000C0E4B">
        <w:t>,</w:t>
      </w:r>
      <w:r w:rsidR="00F76EB0">
        <w:t xml:space="preserve"> but this would be for a temporary period; it is considered that such impacts would not be so great as to constitute a sustainable reason for refusal. </w:t>
      </w:r>
    </w:p>
    <w:p w:rsidR="00F27F10" w:rsidRDefault="00F27F10" w:rsidP="00F067C1">
      <w:pPr>
        <w:jc w:val="both"/>
      </w:pPr>
    </w:p>
    <w:p w:rsidR="004E7E8C" w:rsidRDefault="00363EF2" w:rsidP="00F067C1">
      <w:pPr>
        <w:jc w:val="both"/>
      </w:pPr>
      <w:r>
        <w:t xml:space="preserve">Subject to conditions regarding </w:t>
      </w:r>
      <w:r w:rsidRPr="000B7C20">
        <w:rPr>
          <w:rFonts w:cs="Arial"/>
          <w:szCs w:val="24"/>
        </w:rPr>
        <w:t>the construction of the access points to the site, the internal access road, traffic management plan, off site highway works, construction method statement, monitoring of highway conditions, provision of drainage and measures to prevent air and ground and surface water pollution</w:t>
      </w:r>
      <w:r>
        <w:rPr>
          <w:rFonts w:cs="Arial"/>
          <w:szCs w:val="24"/>
        </w:rPr>
        <w:t>,</w:t>
      </w:r>
      <w:r w:rsidR="000C0E4B">
        <w:t xml:space="preserve"> restricted hours </w:t>
      </w:r>
      <w:r>
        <w:t xml:space="preserve">of operation, </w:t>
      </w:r>
      <w:r w:rsidR="000C0E4B">
        <w:t>vehicle cleanliness and replace</w:t>
      </w:r>
      <w:r>
        <w:t xml:space="preserve">ment of </w:t>
      </w:r>
      <w:r w:rsidR="000C0E4B">
        <w:t xml:space="preserve">any lost hedgerow, </w:t>
      </w:r>
      <w:r w:rsidR="00B20B02">
        <w:t>it is considered that the development would be acceptable in terms of highway safety and capacity issues</w:t>
      </w:r>
      <w:r w:rsidR="0060157C">
        <w:t xml:space="preserve"> and would not be in conflict with the policies of the development plan.</w:t>
      </w:r>
    </w:p>
    <w:p w:rsidR="001E6A4E" w:rsidRDefault="001E6A4E" w:rsidP="00B13EBB"/>
    <w:p w:rsidR="001E6A4E" w:rsidRPr="00DC3829" w:rsidRDefault="001E6A4E" w:rsidP="00B13EBB"/>
    <w:sectPr w:rsidR="001E6A4E" w:rsidRPr="00DC3829"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20" w:rsidRDefault="000B7C20" w:rsidP="00B13EBB">
      <w:r>
        <w:separator/>
      </w:r>
    </w:p>
  </w:endnote>
  <w:endnote w:type="continuationSeparator" w:id="0">
    <w:p w:rsidR="000B7C20" w:rsidRDefault="000B7C20"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157"/>
      <w:docPartObj>
        <w:docPartGallery w:val="Page Numbers (Bottom of Page)"/>
        <w:docPartUnique/>
      </w:docPartObj>
    </w:sdtPr>
    <w:sdtEndPr/>
    <w:sdtContent>
      <w:p w:rsidR="00F067C1" w:rsidRDefault="008234B7">
        <w:pPr>
          <w:pStyle w:val="Footer"/>
          <w:jc w:val="center"/>
        </w:pPr>
        <w:r>
          <w:fldChar w:fldCharType="begin"/>
        </w:r>
        <w:r>
          <w:instrText xml:space="preserve"> PAGE </w:instrText>
        </w:r>
        <w:r>
          <w:instrText xml:space="preserve">  \* MERGEFORMAT </w:instrText>
        </w:r>
        <w:r>
          <w:fldChar w:fldCharType="separate"/>
        </w:r>
        <w:r>
          <w:rPr>
            <w:noProof/>
          </w:rPr>
          <w:t>2</w:t>
        </w:r>
        <w:r>
          <w:rPr>
            <w:noProof/>
          </w:rPr>
          <w:fldChar w:fldCharType="end"/>
        </w:r>
      </w:p>
    </w:sdtContent>
  </w:sdt>
  <w:p w:rsidR="000B7C20" w:rsidRPr="005E4C28" w:rsidRDefault="000B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20" w:rsidRDefault="000B7C20" w:rsidP="00B13EBB">
      <w:r>
        <w:separator/>
      </w:r>
    </w:p>
  </w:footnote>
  <w:footnote w:type="continuationSeparator" w:id="0">
    <w:p w:rsidR="000B7C20" w:rsidRDefault="000B7C20"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20" w:rsidRPr="00B13EBB" w:rsidRDefault="000B7C20">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4845"/>
    <w:multiLevelType w:val="hybridMultilevel"/>
    <w:tmpl w:val="6436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0118E"/>
    <w:multiLevelType w:val="hybridMultilevel"/>
    <w:tmpl w:val="4A0864CC"/>
    <w:lvl w:ilvl="0" w:tplc="EE84FAAC">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
    <w:nsid w:val="2AB17B83"/>
    <w:multiLevelType w:val="hybridMultilevel"/>
    <w:tmpl w:val="6BECA5F8"/>
    <w:lvl w:ilvl="0" w:tplc="09F8C134">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CD11605"/>
    <w:multiLevelType w:val="hybridMultilevel"/>
    <w:tmpl w:val="E4F2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1F4806"/>
    <w:multiLevelType w:val="hybridMultilevel"/>
    <w:tmpl w:val="DC1497DE"/>
    <w:lvl w:ilvl="0" w:tplc="C0E805AC">
      <w:start w:val="1"/>
      <w:numFmt w:val="decimal"/>
      <w:lvlText w:val="%1"/>
      <w:lvlJc w:val="left"/>
      <w:pPr>
        <w:ind w:left="36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
  </w:num>
  <w:num w:numId="5">
    <w:abstractNumId w:val="9"/>
  </w:num>
  <w:num w:numId="6">
    <w:abstractNumId w:val="12"/>
  </w:num>
  <w:num w:numId="7">
    <w:abstractNumId w:val="8"/>
  </w:num>
  <w:num w:numId="8">
    <w:abstractNumId w:val="11"/>
  </w:num>
  <w:num w:numId="9">
    <w:abstractNumId w:val="3"/>
  </w:num>
  <w:num w:numId="10">
    <w:abstractNumId w:val="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44643"/>
    <w:rsid w:val="00057887"/>
    <w:rsid w:val="0006679E"/>
    <w:rsid w:val="00075325"/>
    <w:rsid w:val="000756AB"/>
    <w:rsid w:val="000B7C20"/>
    <w:rsid w:val="000C0E4B"/>
    <w:rsid w:val="000C593F"/>
    <w:rsid w:val="00146E88"/>
    <w:rsid w:val="001B26BC"/>
    <w:rsid w:val="001D5D5B"/>
    <w:rsid w:val="001E1E39"/>
    <w:rsid w:val="001E6A4E"/>
    <w:rsid w:val="001F0D8D"/>
    <w:rsid w:val="00221CF1"/>
    <w:rsid w:val="0025347A"/>
    <w:rsid w:val="00282B3B"/>
    <w:rsid w:val="00294214"/>
    <w:rsid w:val="002A04C9"/>
    <w:rsid w:val="002A41C3"/>
    <w:rsid w:val="002D06BE"/>
    <w:rsid w:val="002D2FF0"/>
    <w:rsid w:val="002E60CC"/>
    <w:rsid w:val="00300B4D"/>
    <w:rsid w:val="00307C61"/>
    <w:rsid w:val="003469BD"/>
    <w:rsid w:val="00363EF2"/>
    <w:rsid w:val="00367894"/>
    <w:rsid w:val="003757F8"/>
    <w:rsid w:val="0039606E"/>
    <w:rsid w:val="0039767A"/>
    <w:rsid w:val="00397C6E"/>
    <w:rsid w:val="00416611"/>
    <w:rsid w:val="00425388"/>
    <w:rsid w:val="00435839"/>
    <w:rsid w:val="004555F9"/>
    <w:rsid w:val="00461C5C"/>
    <w:rsid w:val="004914BA"/>
    <w:rsid w:val="004A1612"/>
    <w:rsid w:val="004A5226"/>
    <w:rsid w:val="004B737C"/>
    <w:rsid w:val="004E7E8C"/>
    <w:rsid w:val="00500FD5"/>
    <w:rsid w:val="00547BF1"/>
    <w:rsid w:val="00583273"/>
    <w:rsid w:val="005E4C28"/>
    <w:rsid w:val="0060090B"/>
    <w:rsid w:val="0060157C"/>
    <w:rsid w:val="00611457"/>
    <w:rsid w:val="00631D1F"/>
    <w:rsid w:val="00685DCF"/>
    <w:rsid w:val="0069650A"/>
    <w:rsid w:val="006A5530"/>
    <w:rsid w:val="006D57FB"/>
    <w:rsid w:val="006E0E55"/>
    <w:rsid w:val="00720F49"/>
    <w:rsid w:val="0072445D"/>
    <w:rsid w:val="0074139C"/>
    <w:rsid w:val="00763652"/>
    <w:rsid w:val="007D6ECA"/>
    <w:rsid w:val="008234B7"/>
    <w:rsid w:val="00894D70"/>
    <w:rsid w:val="00915BF3"/>
    <w:rsid w:val="00951029"/>
    <w:rsid w:val="009526BA"/>
    <w:rsid w:val="009528BD"/>
    <w:rsid w:val="009564C5"/>
    <w:rsid w:val="00957A2C"/>
    <w:rsid w:val="009923F7"/>
    <w:rsid w:val="00996956"/>
    <w:rsid w:val="009B3C47"/>
    <w:rsid w:val="009B5EB9"/>
    <w:rsid w:val="009C18F1"/>
    <w:rsid w:val="009D3D0A"/>
    <w:rsid w:val="009E190B"/>
    <w:rsid w:val="00A0656E"/>
    <w:rsid w:val="00A40CF4"/>
    <w:rsid w:val="00A52CFF"/>
    <w:rsid w:val="00A542A5"/>
    <w:rsid w:val="00A61284"/>
    <w:rsid w:val="00AA3EB9"/>
    <w:rsid w:val="00AB45E6"/>
    <w:rsid w:val="00AB6323"/>
    <w:rsid w:val="00AE437F"/>
    <w:rsid w:val="00AF13C5"/>
    <w:rsid w:val="00B01C9B"/>
    <w:rsid w:val="00B05FFE"/>
    <w:rsid w:val="00B074A8"/>
    <w:rsid w:val="00B13EBB"/>
    <w:rsid w:val="00B175C0"/>
    <w:rsid w:val="00B20B02"/>
    <w:rsid w:val="00B22FA9"/>
    <w:rsid w:val="00B3660A"/>
    <w:rsid w:val="00B404A6"/>
    <w:rsid w:val="00B76539"/>
    <w:rsid w:val="00BA1159"/>
    <w:rsid w:val="00BA2B11"/>
    <w:rsid w:val="00BB2AF9"/>
    <w:rsid w:val="00C0480E"/>
    <w:rsid w:val="00C2041B"/>
    <w:rsid w:val="00C27551"/>
    <w:rsid w:val="00C74800"/>
    <w:rsid w:val="00C977D0"/>
    <w:rsid w:val="00CA0C39"/>
    <w:rsid w:val="00CD1C15"/>
    <w:rsid w:val="00CF57F8"/>
    <w:rsid w:val="00D13ADD"/>
    <w:rsid w:val="00D42EA9"/>
    <w:rsid w:val="00D636C2"/>
    <w:rsid w:val="00D6679E"/>
    <w:rsid w:val="00D76259"/>
    <w:rsid w:val="00D77FAF"/>
    <w:rsid w:val="00DC3829"/>
    <w:rsid w:val="00E632EB"/>
    <w:rsid w:val="00E67294"/>
    <w:rsid w:val="00E82529"/>
    <w:rsid w:val="00EA0A47"/>
    <w:rsid w:val="00ED1DD5"/>
    <w:rsid w:val="00F067C1"/>
    <w:rsid w:val="00F27F10"/>
    <w:rsid w:val="00F76EB0"/>
    <w:rsid w:val="00F93CBF"/>
    <w:rsid w:val="00F96D77"/>
    <w:rsid w:val="00FA0762"/>
    <w:rsid w:val="00FC3E9B"/>
    <w:rsid w:val="00FD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70680E-45A7-4CE7-8C74-1C4AE18A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2799</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2015-01-20T14:44:00Z</dcterms:created>
  <dcterms:modified xsi:type="dcterms:W3CDTF">2015-01-20T14:44:00Z</dcterms:modified>
</cp:coreProperties>
</file>